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31</w:t>
      </w:r>
    </w:p>
    <w:p>
      <w:r>
        <w:t>Bundesgericht (BGE), 1997-02-14, DE</w:t>
      </w:r>
    </w:p>
    <w:p>
      <w:r>
        <w:rPr>
          <w:b/>
        </w:rPr>
        <w:t xml:space="preserve">Quelle: </w:t>
      </w:r>
      <w:r>
        <w:t>https://mcp.opencaselaw.ch/entscheid/bge_123 I 31</w:t>
      </w:r>
    </w:p>
    <w:p>
      <w:r>
        <w:t>FR: ATF 123 I 31</w:t>
      </w:r>
    </w:p>
    <w:p>
      <w:r>
        <w:t>IT: DTF 123 I 31</w:t>
      </w:r>
    </w:p>
    <w:p>
      <w:pPr>
        <w:pStyle w:val="Heading2"/>
      </w:pPr>
      <w:r>
        <w:t>Regeste</w:t>
      </w:r>
    </w:p>
    <w:p>
      <w:r>
        <w:t>Regeste Art. 4 BV, persönliche Freiheit, Art. 5 Ziff. 4 EMRK. Haftprüfung. Begründungspflicht, Fluchtgefahr, Sperrfrist. Der Anspruch auf rechtliches Gehör wird nicht verletzt, wenn die Haftrichterin auf die Haftgründe genügend darlegende Stellungnahme der Untersuchungsbehörde verweist, statt ihren Entscheid mit einer eigenen Begründung zu versehen (E. 2). Fluchtgefahr besteht auch dann, wenn sich der Angeschuldigte in ein Land begeben will, das die Auslieferung an die Schweiz bewilligen oder selbst ein Strafverfahren durchführen würde (E. 3). Recht auf Haftüberprüfung zumindest "in vernünftigen" Abständen: Welche Abstände als "vernünftig" anzusehen sind, richtet sich nach den Verhältnissen des Einzelfalles und den Besonderheiten der anwendbaren Prozessvorschriften; eine Sperrfrist von einem Monat verstösst grundsätzlich nicht gegen Art. 5 Ziff. 4 EMRK, wohl aber hier eine solche von zwei Monaten, die lediglich mit der Stellung von drei Haftentlassungsgesuchen innerhalb eines Monats begründet wird (E. 4).</w:t>
      </w:r>
    </w:p>
    <w:p>
      <w:pPr>
        <w:pStyle w:val="Heading2"/>
      </w:pPr>
      <w:r>
        <w:t>Erwägungen</w:t>
      </w:r>
    </w:p>
    <w:p>
      <w:r>
        <w:rPr>
          <w:b/>
        </w:rPr>
        <w:t>E. 2</w:t>
      </w:r>
    </w:p>
    <w:p>
      <w:r>
        <w:t>a) Der Beschwerdeführer rügt in seiner Beschwerdeschrift an mehreren Stellen, die angefochtene Verfügung sei ungenügend begründet, weshalb sein Anspruch auf Gewährung des rechtlichen Gehörs verletzt worden sei. b) Die Verfügung des Haftrichters enthält keine Darstellung des Tatverdachts und im Zusammenhang mit der Kollusionsgefahr keinen Hinweis darauf, welche Untersuchungsmassnahmen noch getroffen werden müssen; der blosse Hinweis, weitere Geschädigte müssten noch überprüft werden, genügt für sich allein nicht, um die BGE 123 I 31 S. 34 Annahme der Kollusionsgefahr zu begründen. Der Haftrichter verweist aber unter anderem auf den Antrag der Bezirksanwaltschaft auf Ablehnung des Haftentlassungsgesuches und Fortsetzung der Untersuchungshaft vom 17. Januar 1997. c) 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eines Entscheids muss so abgefasst sein, dass der Betroffene ihn gegebenenfalls sachgerecht anfechten kann ( BGE 112 Ia 109 E. b, mit Hinweisen; vgl. auch BGE 114 Ia 242 E. 2d). Das Bundesgericht entschied mehrmals, die aus Art. 4 BV abgeleitete Pflicht zur Gewährung des rechtlichen Gehörs verleihe den Parteien keinen Anspruch auf eine ausführliche schriftliche Urteilsbegründung. So sei es grundsätzlich zulässig, dass das angefochtene Urteil auf die Begründung des erstinstanzlichen Urteils verweise. Die Parteien könnten ein Urteil sachgerecht anfechten, wenn sie die Urteilsmotive wenigstens im vorinstanzlichen Urteil nachlesen könnten. Ein blosser Hinweis auf "die Akten" im zweitinstanzlichen Urteil genüge jedoch in keinem Fall als Begründung und verletze Art. 4 BV ( BGE 111 Ia 4 E. 4a mit Hinweisen; BGE 103 Ia 409 E. 3a; 98 Ia 464 E. 5a). d) Die Bezirksanwaltschaft begründete in ihrem Antrag auf Fortsetzung der Untersuchungshaft vom 17. Januar 1997 den dringenden Tatverdacht zusammengefasst damit, der Beschwerdeführer habe in deutschen Tageszeitungen Kreditinteressenten gesucht, die interessierten Personen in Zürich unter einem falschen Namen getroffen und sie in stundenweise gemieteten Büroräumen in Zürich zusammen mit X. veranlasst, Honorare und Kautionen in unbestimmter, sicher aber Fr. 60'000.-- übersteigender Höhe zu bezahlen. Zwei der geschädigten Personen seien bisher den Strafverfolgungsbehörden bekannt (Y. und P.), der Beschwerdeführer habe aber mit Sicherheit gegenüber weiteren Personen entsprechend gehandelt, was von einer Zeugin beobachtet worden sei und aus Unterlagen des Beschwerdeführers hervorgehe. Die Kollusionsgefahr ergebe sich daraus, dass der Beschwerdeführer nach einer Freilassung mit seinem mutmasslichen Mittäter X. und den zum Teil noch unbekannten Geschädigten Kontakt aufnehmen könnte. Fluchtgefahr müsse angenommen werden, weil der Beschwerdeführer nach einer Freilassung zu seiner Familie nach Deutschland ausreisen wolle. BGE 123 I 31 S. 35 Diese Ausführungen genügen in formeller Hinsicht als Begründung dafür, den Beschwerdeführer vorläufig nicht aus der Untersuchungshaft zu entlassen. Der Beschwerdeführer konnte die Verfügung des Haftrichters sachgerecht anfechten, was er mit der vorliegenden staatsrechtlichen Beschwerde auch getan hat. Seine Rüge, der Haftrichter habe die Begründungspflicht verletzt und ihm damit das rechtliche Gehör verweigert, erweist sich als unbegründet.</w:t>
      </w:r>
    </w:p>
    <w:p>
      <w:r>
        <w:rPr>
          <w:b/>
        </w:rPr>
        <w:t>E. 3</w:t>
      </w:r>
    </w:p>
    <w:p>
      <w:r>
        <w:t>a)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Rechts frei. Soweit jedoch reine Verfahrensfragen zu beurteilen sind, greift das Bundesgericht nur bei Willkür ein ( BGE 117 Ia 74 E. 1; BGE 115 Ia 297 E. 1b, je mit Hinweisen). b) Gemäss § 58 Abs. 1 des kantonalen Gesetzes vom 4. Mai 1919 betreffend den Strafprozess (Strafprozessordnung; StPO) darf Untersuchungshaft nur angeordnet werden, wenn der Angeschuldigte eines Verbrechens oder Vergehens dringend verdächtigt wird und ausserdem aufgrund bestimmter Anhaltspunkte ernsthaft befürchtet werden muss, er werde sich der Strafverfolgung oder der zu erwartenden Strafe durch Flucht entziehen (Ziff. 1), Spuren oder Beweismittel beseitigen, Dritte zu falschen Aussagen zu verleiten suchen oder die Abklärung des Sachverhaltes auf andere Weise gefährden (Ziff. 2), oder nachdem er bereits zahlreiche Verbrechen oder erhebliche Vergehen verübt hat, erneut solche Straftaten begehen (Ziff. 3). c) Die in § 58 Abs. 1 Ziff. 2 StPO erwähnte 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oder einen Urlaub dazu missbrauchen würde, die wahrheitsgetreue Abklärung des Sachverhaltes zu vereiteln oder zu gefährden. Jedoch genügt nach der Rechtsprechung des Bundesgerichtes die theoretische Möglichkeit, dass der Angeschuldigte in Freiheit kolludieren könnte, nicht, um die Fortsetzung der Haft oder die Nichtgewährung von Urlauben unter diesem Titel zu rechtfertigen. Es müssen vielmehr konkrete Indizien für eine solche Gefahr sprechen ( BGE 117 Ia 257 E. 4b, 4c, mit Hinweisen auf unveröffentlichte Urteile des Bundesgerichts). BGE 123 I 31 S. 36 Der Beschwerdeführer hält der Darstellung der Bezirksanwaltschaft zunächst entgegen, nach X. werde weder von den schweizerischen noch von den deutschen Strafverfolgungsbehörden gefahndet. Den deutschen Behörden sei sein Aufenthaltsort bekannt. Der Beschwerdeführer unterlässt es jedoch, für seine Behauptung irgendeinen Beweis oder Beleg zu nennen. Die Behauptung des Beschwerdeführers erfüllt deshalb die Anforderungen an die Begründung einer staatsrechtlichen Beschwerde gemäss Art. 90 Abs. 1 lit. b OG nicht, weshalb insoweit nicht darauf einzutreten ist. Der Beschwerdeführer verweist zutreffend auf den Umstand, dass ausser Y. und P. keine weiteren Geschädigten bekannt sind. Wie die Bezirksanwaltschaft ausführt, steht aber fest, dass der Beschwerdeführer gegen mehrere weitere Personen in der gleichen Weise vorgegangen ist wie gegen Y. und P.. In der Strafuntersuchung wird es in der nächsten Zeit darum gehen, die weiteren geschädigten Personen zu ermitteln. Unter diesen Umständen muss mit einer gewissen Wahrscheinlichkeit angenommen werden, d.h. es bestehen konkrete Indizien dafür, dass der Beschwerdeführer, würde er jetzt freigelassen, mit einzelnen oder mit allen bisher unbekannten Geschädigten in Kontakt treten und sie davon abhalten könnte, sich gegenüber den Behörden als Geschädigte zu bekennen. Zumindest in dieser Hinsicht besteht weiterhin Kollusionsgefahr, und die entsprechende Rüge erweist sich als unbegründet, soweit sie zulässig ist. d) Die kantonalen Behörden nehmen ausser Kollusionsgefahr auch Fluchtgefahr an. Der Beschwerdeführer erklärt selbst in seiner Beschwerdeschrift, er wolle nach einer Freilassung sofort nach Deutschland zurückkehren, um seine in Not geratene Familie nach Kräften zu unterstützen. Gestützt auf den Vorbehalt der Bundesrepublik Deutschland zu Art. 6 des Europäischen Auslieferungsübereinkommens vom 13. Dezember 1957 (EAUe; SR 0.353.1, S. 14) ist die Auslieferung eines Deutschen aus der Bundesrepublik Deutschland an einen andern Staat nach Art. 16 Abs. 2 Satz 1 des Grundgesetzes für die Bundesrepublik Deutschland nicht zulässig und muss daher in jedem Fall abgelehnt werden. Gemäss Art. 6 Ziff. 2 EAUe ist die Bundesrepublik Deutschland aber verpflichtet, die Strafsache ihren eigenen Behörden zu unterbreiten. Voraussetzung dafür ist ein förmliches Rechtshilfegesuch der schweizerischen Behörden. Nach der bisher nicht in der amtlichen Sammlung veröffentlichten Rechtsprechung des Bundesgerichts lehnt das Bundesgericht die Lehrmeinung (s. Martin Schubarth, Die Rechte des Beschuldigten BGE 123 I 31 S. 37 im Untersuchungsverfahren, insbesondere bei Untersuchungshaft, Bern 1973, S. 85) ab, wonach die blosse Fluchtgefahr die Untersuchungshaft nicht zu rechtfertigen vermag, wenn als Ziel der Flucht nur oder vor allem ein Land in Betracht fällt, das nötigenfalls die Auslieferung bewilligen oder selbst die Beurteilung der Sache übernehmen würde. Dem Staat, welchem die Strafhoheit zusteht, ist es nicht zuzumuten, auf die Sicherung der Person des Angeschuldigten zu verzichten und bei dessen Flucht den langwierigen Weg des Auslieferungsbegehrens oder eines Ersuchens um Übernahme der Strafverfolgung zu beschreiten. Ob in einem bestimmten Fall Fluchtgefahr besteht, ist demnach grundsätzlich in bezug auf das in der Schweiz geführte Strafverfahren (und allenfalls Vollzugsverfahren) zu überprüfen (vgl. das auszugsweise in SJIR 1985 S. 285 veröffentliche Urteil des Bundesgerichts vom 11. Dezember 1984 i.S. Kühnis, E. 2b). Die vom Beschwerdeführer selbst zugegebene Absicht, nach einer Entlassung aus der Haft nach Deutschland zu reisen, genügt für die Annahme der Fluchtgefahr, obwohl die Bundesrepublik Deutschland allenfalls selbst ein Strafverfahren gegen den Beschwerdeführer durchführen müsste. Die Behörden des Kantons Zürich erkannten deshalb zu Recht, es bestehe Fluchtgefahr im Sinne von § 58 Abs. 1 Ziff. 1 StPO . Die staatsrechtliche Beschwerde erweist sich auch in dieser Beziehung als unbegründet.</w:t>
      </w:r>
    </w:p>
    <w:p>
      <w:r>
        <w:rPr>
          <w:b/>
        </w:rPr>
        <w:t>E. 4</w:t>
      </w:r>
    </w:p>
    <w:p>
      <w:r>
        <w:t>a) Der Beschwerdeführer wendet sich auch gegen die in Ziffer 3 der angefochtenen Verfügung angeordnete Sperrfrist von fast zwei Monaten, um ein neues Gesuch um Haftentlassung zu stellen. Er beruft sich auf einen Bericht der Europäischen Kommission für Menschenrechte in EuGRZ 15 (1988) 506 sowie auf die Recommandation No R (80) 11 des Europarates vom 27. Juni 1980 und macht geltend, eine Sperrfrist, welche 30 Tage überschreite, verstosse gegen Art. 5 Ziff. 4 EMRK . b) Gemäss § 64 StPO kann der Angeschuldigte "jederzeit" ein Gesuch um Aufhebung der Untersuchungshaft stellen. Vorbehalten wird allerdings § 66 StPO . Dieser lautet wie folgt: "Der Haftrichter kann bei Anordnung der Untersuchungshaft und bei Abweisung eines Gesuches um Aufhebung der Haft einen Zeitpunkt bestimmen, bis zu welchem kein beziehungsweise kein neues Gesuch zugelassen wird." c) Nach Art. 5 Ziff. 4 EMRK hat jedermann, dem seine Freiheit durch Festnahme oder Haft entzogen wird, das Recht, ein Verfahren BGE 123 I 31 S. 38 zu beantragen, in dem von einem Gericht raschmöglichst über die Rechtmässigkeit der Haft entschieden und im Falle der Widerrechtlichkeit seine Entlassung angeordnet wird (vgl. auch die analoge Bestimmung in Art. 9 Ziff. 4 des Internationalen Paktes über bürgerliche und politische Rechte vom 16. Dezember 1966 [UNO-Pakt II; SR 0.103.2, AS 1993 750]). Ist die Entscheidung, mit der dem Betroffenen die Freiheit entzogen wird, von einem Verwaltungsorgan getroffen worden, kann dieser ohne weiteres eine gerichtliche Prüfung der Rechtmässigkeit der Haft verlangen; wenn ursprünglich der Entscheid über die Freiheitsentziehung von einem Gericht ausgeht, kann es angesichts der Natur des in Frage stehenden Freiheitsentzuges notwendig sein, dass die Rechtmässigkeit in vernünftigen Abständen überprüft wird ( BGE 116 Ia 60 E. 2, mit zahlreichen Hinweisen auf die Rechtsprechung der Strassburger Instanzen). Der Angeschuldigte hat schon gestützt auf die persönliche Freiheit das Recht, jederzeit oder zumindest "in vernünftigen Abständen" ein Haftentlassungsgesuch zu stellen und nötigenfalls eine richterliche Haftprüfung zu beantragen. Dabei muss er insbesondere das Vorliegen ausreichender Haftgründe und die Verhältnismässigkeit der Haft überprüfen lassen können ( BGE 117 Ia 72 E. 1d, 372 E. 3a; BGE 116 Ia 60 E. 2). Für die Frage, welche Abstände zwischen periodischen Haftprüfungen als "vernünftig" anzusehen sind, kommt es auf die Verhältnisse des konkreten Falles und auf die Besonderheiten der anwendbaren Prozessvorschriften an (VELU/ERGEC, La Convention européenne des droits de l'homme, Bruxelles 1990, S. 307, N. 350; MANFRED NOWAK, UNO-Pakt über bürgerliche und politische Rechte und Fakultativprotokoll - CCPR-Kommentar, Kehl etc. 1989, N 45 zu Art. 9; vgl. auch die Recommandation No R [80] 11 des Ministerkomitees des Europarates, Ziff. 14, die von "intervalles assez courts" spricht). Während relativ lange Abstände angebracht und zulässig sind, wenn es sich um die Unterbringung eines Geisteskranken handelt, dürfen diese Abstände nur verhältnismässig kurz sein, wenn der Betroffene sich unter dem Verdacht der Begehung einer Straftat in Untersuchungshaft befindet. Eine Sperrfrist von einem Monat, um ein neues Gesuch um Entlassung aus der Untersuchungshaft zu stellen, verstösst grundsätzlich nicht gegen Art. 5 Ziff. 4 EMRK (Urteile des Europäischen Gerichtshofes für Menschenrechte vom 15. November 1996 i.S. Silva Rocha gegen Portugal, E. 31, 32, 82/1995/588/674, und vom 25. Oktober 1989 i.S. Bezicheri gegen Italien, Serie A Nr. 164, E. 21; Bericht der BGE 123 I 31 S. 39 Europäischen Kommission für Menschenrechte in derselben Sache vom 10. März 1988, E. 38, veröffentlicht auch in EuGRZ 15 [1988] 506; vgl. auch Stefan Trechsel, Liberty and Security of Person, in: MACDONALD/MATSCHER/PETZOLD, The European System for the Protection of Human Rights, Dordrecht etc. 1993, S. 277-344, S. 323). d) § 66 StPO sagt über die zulässige Höchstdauer der Sperrfrist für neue Haftentlassungsgesuche nach zürcherischem Strafprozessrecht nichts aus. Auch die Gründe für die Anordnung einer Sperrfrist werden im Gesetz nicht genannt. Die neue Literatur zum zürcherischen Strafprozessrecht hält eine Sperrfrist von einem Monat für zulässig. Eine längere Sperrfrist sei nur ausnahmsweise bei besonderen Umständen gerechtfertigt, nämlich dann, wenn den im Verlaufe des Verfahrens sich wandelnden tatsächlichen Verhältnissen mit Blick auf den Tatverdacht wie den besonderen Haftgrund auch so ausreichend Rechnung getragen werden könne. Möglich sei dies beispielsweise nach einem glaubwürdigen, zumindest teilweise überprüften Geständnis des Angeschuldigten, sofern die Flucht-Kollusions- oder Wiederholungsgefahr aller Voraussicht nach auch in Zukunft unverändert gross sei. Eine drei Monate übersteigende Sperrfrist sei generell konventions- und verfassungswidrig (DONATSCH/SCHMID, Kommentar zur Strafprozessordnung des Kantons Zürich, Zürich 1996, § 66 N. 8). Dem Interesse des Untersuchungsgefangenen an einer Überprüfung der Untersuchungshaft in regelmässigen, vernünftigen Abständen steht das Interesse der Strafverfolgungsbehörden an der Nichtzulassung rechtsmissbräuchlicher, trölerischer oder offensichtlich unzulässiger Gesuche entgegen. Das Interesse der Strafverfolgungsbehörden ist indessen grundsätzlich geringer zu bewerten, denn es steht dem Haftrichter frei, auf rechtsmissbräuchliche, trölerische oder offensichtlich unzulässige Gesuche nicht einzutreten oder offensichtlich unbegründete Gesuche mit bloss summarischer Begründung abzuweisen (vgl. das Urteil des Bundesgerichts vom 8. April 1994 i.S. A., E. 3b, in EuGRZ 21 [1994] 491). e) Im vorliegenden Fall begründete die Haftrichterin die zweimonatige Sperrfrist allein damit, der Beschwerdeführer habe innerhalb eines Monats drei Gesuche um Haftentlassung gestellt und damit die Strafuntersuchung unnötig behindert. Diese Begründung nimmt keinen Bezug auf den Stand der Strafuntersuchung. Auch lässt sich daraus nicht entnehmen, ob die weiteren noch erforderlichen Untersuchungshandlungen frühestens nach zwei Monaten abgeschlossen sein werden und ob die Flucht- oder die Kollusionsgefahr noch so BGE 123 I 31 S. 40 lange andauern werden. Die Sperrfrist von zwei Monaten für die Einreichung eines neuen Gesuchs um Entlassung aus der Untersuchungshaft erweist sich unter diesen Umständen als übersetzt. Die staatsrechtliche Beschwerde ist in dieser Hinsicht begründet. Die angefochtene Verfügung ist deshalb soweit aufzuheben, als die Untersuchungshaft bis mindestens am 19. März 1997 verlängert und eine Sperrfrist bis zum gleichen Datum angeordnet wurde.</w:t>
      </w:r>
    </w:p>
    <w:p>
      <w:r>
        <w:rPr>
          <w:b/>
        </w:rPr>
        <w:t>E. 5</w:t>
      </w:r>
    </w:p>
    <w:p>
      <w:r>
        <w:t>Der Beschwerdeführer beantragt schliesslich, den kantonalen Behörden sei eine kurze Frist anzusetzen, innerhalb welcher sie die allenfalls noch erforderlichen Untersuchungshandlungen vorzunehmen hätten; die Fristansetzung sei mit der Androhung zu verbinden, dass im Säumnisfall der Beschwerdeführer aus der Haft zu entlassen sei. Beim gegenwärtigen Stand der Untersuchung lässt sich nicht mit Bestimmtheit feststellen, wieviel Zeit für die noch erforderlichen Untersuchungshandlungen nötig sein wird. Weil das Bundesgericht die von der Haftrichterin angeordnete Sperrfrist aufhebt, kann der Beschwerdeführer die Untersuchungshaft jederzeit überprüfen lassen, gegebenenfalls auch durch das Bundesgericht. Damit erübrigt es sich, den kantonalen Behörden eine Frist anzusetzen, bis zu welcher sie die noch erforderlichen Untersuchungen vornehmen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